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附件2</w:t>
      </w:r>
    </w:p>
    <w:p>
      <w:pPr>
        <w:spacing w:line="594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2019年</w:t>
      </w:r>
      <w:r>
        <w:rPr>
          <w:rFonts w:hint="eastAsia" w:ascii="方正小标宋简体" w:hAnsi="仿宋" w:eastAsia="方正小标宋简体" w:cs="宋体"/>
          <w:color w:val="000000"/>
          <w:sz w:val="36"/>
          <w:szCs w:val="36"/>
        </w:rPr>
        <w:t>德阳市精神卫生中心</w:t>
      </w:r>
    </w:p>
    <w:p>
      <w:pPr>
        <w:spacing w:line="594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公开考核招聘卫生专业技术人员岗位表</w:t>
      </w:r>
    </w:p>
    <w:tbl>
      <w:tblPr>
        <w:tblStyle w:val="4"/>
        <w:tblpPr w:leftFromText="180" w:rightFromText="180" w:vertAnchor="text" w:horzAnchor="page" w:tblpX="1776" w:tblpY="11"/>
        <w:tblW w:w="13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558"/>
        <w:gridCol w:w="887"/>
        <w:gridCol w:w="920"/>
        <w:gridCol w:w="991"/>
        <w:gridCol w:w="2130"/>
        <w:gridCol w:w="1440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最低学历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学位条件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条件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firstLine="321" w:firstLineChars="100"/>
              <w:jc w:val="both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年龄</w:t>
            </w:r>
          </w:p>
          <w:p>
            <w:pPr>
              <w:spacing w:line="400" w:lineRule="exact"/>
              <w:ind w:firstLine="321" w:firstLineChars="100"/>
              <w:jc w:val="both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要求</w:t>
            </w:r>
          </w:p>
          <w:p>
            <w:pPr>
              <w:spacing w:line="400" w:lineRule="exact"/>
              <w:ind w:firstLine="161" w:firstLineChars="50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德阳市精神卫生中心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（一）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具有内科或精神卫生执业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医师资格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德阳市精神卫生中心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（二）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、麻醉学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具有麻醉执业医师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德阳市精神卫生中心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（三）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专业技术岗位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、中西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医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结合专业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ind w:left="2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45周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岁以下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具有内科或精神卫生执业医师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对应专业的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中级及以上职称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</w:p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84"/>
    <w:rsid w:val="000834D7"/>
    <w:rsid w:val="00CC4B84"/>
    <w:rsid w:val="46781B40"/>
    <w:rsid w:val="489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2019-12-30T04:15:00Z</dcterms:created>
  <dc:creator>hp</dc:creator>
  <cp:lastModifiedBy>张小雨</cp:lastModifiedBy>
  <cp:lastPrinted>2019-12-31T06:27:00Z</cp:lastPrinted>
  <dcterms:modified xsi:type="dcterms:W3CDTF">2019-12-31T06:56:16Z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